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21" w:rsidRPr="002715B6" w:rsidRDefault="00963C6A" w:rsidP="00120497">
      <w:pPr>
        <w:pStyle w:val="a3"/>
        <w:shd w:val="clear" w:color="auto" w:fill="FFFFFF"/>
        <w:spacing w:before="0" w:beforeAutospacing="0" w:after="150" w:afterAutospacing="0" w:line="320" w:lineRule="exact"/>
        <w:rPr>
          <w:b/>
          <w:bCs/>
          <w:color w:val="000000" w:themeColor="text1"/>
          <w:sz w:val="30"/>
          <w:szCs w:val="30"/>
        </w:rPr>
      </w:pPr>
      <w:r w:rsidRPr="002715B6">
        <w:rPr>
          <w:bCs/>
          <w:color w:val="000000" w:themeColor="text1"/>
          <w:sz w:val="30"/>
          <w:szCs w:val="30"/>
          <w:u w:val="single"/>
        </w:rPr>
        <w:t>Перечень административных процедур, которые осуществляются главным управлением по проблемам ликвидации последствий катастрофы на Чернобыльской АЭС</w:t>
      </w:r>
      <w:r w:rsidR="00C711C3" w:rsidRPr="002715B6">
        <w:rPr>
          <w:bCs/>
          <w:color w:val="000000" w:themeColor="text1"/>
          <w:sz w:val="30"/>
          <w:szCs w:val="30"/>
          <w:u w:val="single"/>
        </w:rPr>
        <w:t xml:space="preserve"> Гомельского областного исполнительного комитета</w:t>
      </w:r>
    </w:p>
    <w:tbl>
      <w:tblPr>
        <w:tblStyle w:val="a5"/>
        <w:tblW w:w="5155" w:type="pct"/>
        <w:tblLayout w:type="fixed"/>
        <w:tblLook w:val="04A0" w:firstRow="1" w:lastRow="0" w:firstColumn="1" w:lastColumn="0" w:noHBand="0" w:noVBand="1"/>
      </w:tblPr>
      <w:tblGrid>
        <w:gridCol w:w="3538"/>
        <w:gridCol w:w="4395"/>
        <w:gridCol w:w="1983"/>
        <w:gridCol w:w="2271"/>
        <w:gridCol w:w="3116"/>
      </w:tblGrid>
      <w:tr w:rsidR="002715B6" w:rsidRPr="002715B6" w:rsidTr="00CF3FCB">
        <w:tc>
          <w:tcPr>
            <w:tcW w:w="1156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715B6" w:rsidRDefault="00B84C2D" w:rsidP="00120497">
            <w:pPr>
              <w:pStyle w:val="table1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715B6">
              <w:rPr>
                <w:color w:val="000000" w:themeColor="text1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715B6" w:rsidRDefault="00B84C2D" w:rsidP="00120497">
            <w:pPr>
              <w:pStyle w:val="table1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715B6">
              <w:rPr>
                <w:color w:val="000000" w:themeColor="text1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715B6" w:rsidRDefault="00B84C2D" w:rsidP="00120497">
            <w:pPr>
              <w:pStyle w:val="table10"/>
              <w:spacing w:line="240" w:lineRule="exact"/>
              <w:ind w:left="-105"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2715B6">
              <w:rPr>
                <w:color w:val="000000" w:themeColor="text1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715B6" w:rsidRDefault="00B84C2D" w:rsidP="00120497">
            <w:pPr>
              <w:pStyle w:val="table1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715B6">
              <w:rPr>
                <w:color w:val="000000" w:themeColor="text1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715B6" w:rsidRDefault="00B84C2D" w:rsidP="00CF3FCB">
            <w:pPr>
              <w:pStyle w:val="table10"/>
              <w:spacing w:line="240" w:lineRule="exact"/>
              <w:ind w:left="-107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715B6">
              <w:rPr>
                <w:color w:val="000000" w:themeColor="text1"/>
                <w:sz w:val="24"/>
                <w:szCs w:val="24"/>
              </w:rPr>
              <w:t>Срок дейс</w:t>
            </w:r>
            <w:r w:rsidR="00CF3FCB">
              <w:rPr>
                <w:color w:val="000000" w:themeColor="text1"/>
                <w:sz w:val="24"/>
                <w:szCs w:val="24"/>
              </w:rPr>
              <w:t xml:space="preserve">твия справки, другого документа </w:t>
            </w:r>
            <w:r w:rsidRPr="002715B6">
              <w:rPr>
                <w:color w:val="000000" w:themeColor="text1"/>
                <w:sz w:val="24"/>
                <w:szCs w:val="24"/>
              </w:rPr>
              <w:t>(решения), выдаваемых (принимаемого) при осуществлении административной процедуры</w:t>
            </w:r>
          </w:p>
        </w:tc>
      </w:tr>
      <w:tr w:rsidR="002715B6" w:rsidRPr="002715B6" w:rsidTr="00CF3FCB">
        <w:trPr>
          <w:trHeight w:val="32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3.9. Выд</w:t>
            </w:r>
            <w:r w:rsidR="00A41AAD" w:rsidRPr="002715B6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ача удостоверения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715B6" w:rsidRPr="002715B6" w:rsidTr="00CF3FCB">
        <w:trPr>
          <w:trHeight w:val="240"/>
        </w:trPr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Cs/>
                <w:color w:val="000000" w:themeColor="text1"/>
                <w:sz w:val="24"/>
                <w:szCs w:val="24"/>
              </w:rPr>
              <w:t>– по статье 18 Закона</w:t>
            </w:r>
          </w:p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91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6F5053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две фотографии размером 30 х 40 мм</w:t>
            </w:r>
          </w:p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копия удостоверения инвалида (с отметкой о связи заболевания с катастрофой на Чернобыльской АЭС, други</w:t>
            </w:r>
            <w:r w:rsidR="00B16950" w:rsidRPr="002715B6">
              <w:rPr>
                <w:rFonts w:cs="Times New Roman"/>
                <w:color w:val="000000" w:themeColor="text1"/>
                <w:sz w:val="24"/>
                <w:szCs w:val="24"/>
              </w:rPr>
              <w:t>ми радиационными авариями</w:t>
            </w: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экспертное заключение межведомственного экспертного совета</w:t>
            </w:r>
          </w:p>
          <w:p w:rsidR="0096548C" w:rsidRPr="002715B6" w:rsidRDefault="0096548C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документы, подтверждающие место жительства на территории радиоактивного загрязнения, с указанием места и периода проживания</w:t>
            </w:r>
            <w:r w:rsidR="00CF3FCB">
              <w:rPr>
                <w:rFonts w:cs="Times New Roman"/>
                <w:color w:val="000000" w:themeColor="text1"/>
                <w:sz w:val="24"/>
                <w:szCs w:val="24"/>
              </w:rPr>
              <w:t xml:space="preserve"> (справка о месте жительства)</w:t>
            </w:r>
          </w:p>
          <w:p w:rsidR="00B16950" w:rsidRPr="002715B6" w:rsidRDefault="00B16950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5 дней после вынесения комиссией соответствующего решения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2715B6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на срок установления инвалидности </w:t>
            </w:r>
          </w:p>
        </w:tc>
      </w:tr>
      <w:tr w:rsidR="002715B6" w:rsidRPr="002715B6" w:rsidTr="00CF3FCB">
        <w:trPr>
          <w:trHeight w:val="240"/>
        </w:trPr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Cs/>
                <w:color w:val="000000" w:themeColor="text1"/>
                <w:sz w:val="24"/>
                <w:szCs w:val="24"/>
              </w:rPr>
              <w:t>– по статьям 19, 20 Закона</w:t>
            </w:r>
          </w:p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2D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две фотографии размером 30 х 40 мм</w:t>
            </w:r>
          </w:p>
          <w:p w:rsidR="0096548C" w:rsidRPr="002715B6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документы, подтверждающие участие в работах по ликвидации последствий катастрофы на Чернобыльской АЭС, других радиационных аварий</w:t>
            </w:r>
          </w:p>
          <w:p w:rsidR="00B16950" w:rsidRPr="002715B6" w:rsidRDefault="00B16950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5 дней после вынесения комиссией соответствующего решения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715B6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2715B6" w:rsidRPr="002715B6" w:rsidTr="00CF3FCB">
        <w:trPr>
          <w:trHeight w:val="24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– по статьям 19, 20 Закона </w:t>
            </w:r>
          </w:p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(и имеющим право на льготы по статье 18 Закона) </w:t>
            </w:r>
          </w:p>
        </w:tc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две фотографии размером 30 х 40 мм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копия удостоверения инвалида (с отметкой о связи заболевания с катастрофой на Чернобыльской АЭС, други</w:t>
            </w:r>
            <w:r w:rsidR="006B1F0E" w:rsidRPr="002715B6">
              <w:rPr>
                <w:rFonts w:cs="Times New Roman"/>
                <w:color w:val="000000" w:themeColor="text1"/>
                <w:sz w:val="24"/>
                <w:szCs w:val="24"/>
              </w:rPr>
              <w:t>ми</w:t>
            </w: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радиационны</w:t>
            </w:r>
            <w:r w:rsidR="006B1F0E" w:rsidRPr="002715B6">
              <w:rPr>
                <w:rFonts w:cs="Times New Roman"/>
                <w:color w:val="000000" w:themeColor="text1"/>
                <w:sz w:val="24"/>
                <w:szCs w:val="24"/>
              </w:rPr>
              <w:t>ми</w:t>
            </w: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 xml:space="preserve"> авари</w:t>
            </w:r>
            <w:r w:rsidR="006B1F0E" w:rsidRPr="002715B6">
              <w:rPr>
                <w:rFonts w:cs="Times New Roman"/>
                <w:color w:val="000000" w:themeColor="text1"/>
                <w:sz w:val="24"/>
                <w:szCs w:val="24"/>
              </w:rPr>
              <w:t>ями</w:t>
            </w: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экспертное заключение межведомственного экспертного совета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документы, подтверждающие место жительства на территории радиоактивного загрязнения, с указанием места и периода проживания</w:t>
            </w:r>
            <w:r w:rsidR="00EB55C7">
              <w:rPr>
                <w:rFonts w:cs="Times New Roman"/>
                <w:color w:val="000000" w:themeColor="text1"/>
                <w:sz w:val="24"/>
                <w:szCs w:val="24"/>
              </w:rPr>
              <w:t xml:space="preserve"> (справка о месте жительства)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удостоверение пострадавшего (если установлен статус участника ликвидации или статус потерпевшего)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документы, подтверждающие участие в работах по ликвидации последствий катастрофы на Чернобыльской АЭС, других радиационных аварий (если статус участника ликвидации не устанавливался)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5 дней после вынесения комиссией соответствующего решения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715B6" w:rsidRDefault="00B16950" w:rsidP="002715B6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на</w:t>
            </w:r>
            <w:r w:rsidR="002715B6">
              <w:rPr>
                <w:rFonts w:cs="Times New Roman"/>
                <w:color w:val="000000" w:themeColor="text1"/>
                <w:sz w:val="24"/>
                <w:szCs w:val="24"/>
              </w:rPr>
              <w:t xml:space="preserve"> срок установления инвалидности</w:t>
            </w:r>
          </w:p>
        </w:tc>
      </w:tr>
      <w:tr w:rsidR="002715B6" w:rsidRPr="002715B6" w:rsidTr="00CF3FCB">
        <w:trPr>
          <w:trHeight w:val="240"/>
        </w:trPr>
        <w:tc>
          <w:tcPr>
            <w:tcW w:w="1156" w:type="pct"/>
            <w:tcBorders>
              <w:top w:val="single" w:sz="4" w:space="0" w:color="auto"/>
            </w:tcBorders>
            <w:hideMark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3.10. Выдача справки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648" w:type="pct"/>
            <w:tcBorders>
              <w:top w:val="single" w:sz="4" w:space="0" w:color="auto"/>
            </w:tcBorders>
            <w:hideMark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742" w:type="pct"/>
            <w:tcBorders>
              <w:top w:val="single" w:sz="4" w:space="0" w:color="auto"/>
            </w:tcBorders>
            <w:hideMark/>
          </w:tcPr>
          <w:p w:rsidR="00FF7DA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 xml:space="preserve">15 дней со дня обращения, а в случае запроса документов и (или) сведений из других государственных органов, иных организаций – </w:t>
            </w:r>
          </w:p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hideMark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2715B6" w:rsidRPr="002715B6" w:rsidTr="00CF3FCB">
        <w:tc>
          <w:tcPr>
            <w:tcW w:w="1156" w:type="pct"/>
            <w:hideMark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3.21. Выдача дубликатов удостоверений </w:t>
            </w:r>
          </w:p>
        </w:tc>
        <w:tc>
          <w:tcPr>
            <w:tcW w:w="1436" w:type="pct"/>
          </w:tcPr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715B6" w:rsidRPr="002715B6" w:rsidTr="00CF3FCB">
        <w:tc>
          <w:tcPr>
            <w:tcW w:w="1156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Cs/>
                <w:color w:val="000000" w:themeColor="text1"/>
                <w:sz w:val="24"/>
                <w:szCs w:val="24"/>
              </w:rPr>
              <w:t>– по статье 18 Закона</w:t>
            </w:r>
          </w:p>
        </w:tc>
        <w:tc>
          <w:tcPr>
            <w:tcW w:w="1436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заявление с указанием причин утраты удостоверения или приведения его в негодность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пришедшее в негодность удостоверение – в случае, если удостоверение пришло в негодность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одна фотография размером 30 х 40 мм</w:t>
            </w:r>
          </w:p>
          <w:p w:rsidR="00B16950" w:rsidRPr="002715B6" w:rsidRDefault="00B16950" w:rsidP="006B1F0E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копия удостоверения инвалида (с отметкой о связи заболевания с катастрофой на Чернобыльской АЭС, други</w:t>
            </w:r>
            <w:r w:rsidR="006B1F0E" w:rsidRPr="002715B6">
              <w:rPr>
                <w:rFonts w:cs="Times New Roman"/>
                <w:color w:val="000000" w:themeColor="text1"/>
                <w:sz w:val="24"/>
                <w:szCs w:val="24"/>
              </w:rPr>
              <w:t>ми радиационными авариями</w:t>
            </w: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) – в случае продления или изменения группы инвалидности</w:t>
            </w:r>
          </w:p>
          <w:p w:rsidR="006B1F0E" w:rsidRPr="002715B6" w:rsidRDefault="006B1F0E" w:rsidP="006B1F0E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648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742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018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на срок действия удостоверения</w:t>
            </w:r>
          </w:p>
        </w:tc>
      </w:tr>
      <w:tr w:rsidR="002715B6" w:rsidRPr="002715B6" w:rsidTr="00CF3FCB">
        <w:tc>
          <w:tcPr>
            <w:tcW w:w="1156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bCs/>
                <w:color w:val="000000" w:themeColor="text1"/>
                <w:sz w:val="24"/>
                <w:szCs w:val="24"/>
              </w:rPr>
              <w:t>– по статьям 19, 20 Закона</w:t>
            </w:r>
          </w:p>
        </w:tc>
        <w:tc>
          <w:tcPr>
            <w:tcW w:w="1436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заявление с указанием причин утраты удостоверения или приведения его в негодность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пришедшее в негодность удостоверение – в случае, если удостоверение пришло в негодность</w:t>
            </w:r>
          </w:p>
          <w:p w:rsidR="00B16950" w:rsidRPr="002715B6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 xml:space="preserve">одна фотография размером 30 х 40 мм </w:t>
            </w:r>
          </w:p>
        </w:tc>
        <w:tc>
          <w:tcPr>
            <w:tcW w:w="648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742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018" w:type="pct"/>
          </w:tcPr>
          <w:p w:rsidR="00B16950" w:rsidRPr="002715B6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15B6">
              <w:rPr>
                <w:rFonts w:cs="Times New Roman"/>
                <w:color w:val="000000" w:themeColor="text1"/>
                <w:sz w:val="24"/>
                <w:szCs w:val="24"/>
              </w:rPr>
              <w:t>на срок действия удостоверения</w:t>
            </w:r>
          </w:p>
        </w:tc>
      </w:tr>
    </w:tbl>
    <w:p w:rsidR="007A319B" w:rsidRPr="002715B6" w:rsidRDefault="00BB60CD" w:rsidP="00BE623D">
      <w:pPr>
        <w:pStyle w:val="a3"/>
        <w:shd w:val="clear" w:color="auto" w:fill="FFFFFF"/>
        <w:spacing w:before="0" w:beforeAutospacing="0" w:after="150" w:afterAutospacing="0" w:line="300" w:lineRule="exact"/>
        <w:rPr>
          <w:color w:val="000000" w:themeColor="text1"/>
        </w:rPr>
      </w:pPr>
      <w:r w:rsidRPr="002715B6">
        <w:rPr>
          <w:bCs/>
          <w:color w:val="000000" w:themeColor="text1"/>
          <w:sz w:val="26"/>
          <w:szCs w:val="26"/>
        </w:rPr>
        <w:t>Примечание:</w:t>
      </w:r>
      <w:r w:rsidR="00120497" w:rsidRPr="002715B6">
        <w:rPr>
          <w:bCs/>
          <w:color w:val="000000" w:themeColor="text1"/>
          <w:sz w:val="26"/>
          <w:szCs w:val="26"/>
        </w:rPr>
        <w:t xml:space="preserve">  </w:t>
      </w:r>
      <w:r w:rsidR="00864DE3" w:rsidRPr="002715B6">
        <w:rPr>
          <w:bCs/>
          <w:color w:val="000000" w:themeColor="text1"/>
          <w:sz w:val="26"/>
          <w:szCs w:val="26"/>
        </w:rPr>
        <w:t xml:space="preserve">* </w:t>
      </w:r>
      <w:r w:rsidRPr="002715B6">
        <w:rPr>
          <w:bCs/>
          <w:color w:val="000000" w:themeColor="text1"/>
          <w:sz w:val="26"/>
          <w:szCs w:val="26"/>
        </w:rPr>
        <w:t>перечень документов установлен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и постановлением Совета Министров Республики Беларусь от 10 сентября 2009 г. № 1170 «Об утверждении Положения о порядке установления гражданам, пострадавшим от катастрофы на Чернобыльской АЭС, других радиационных аварий</w:t>
      </w:r>
      <w:r w:rsidR="00864DE3" w:rsidRPr="002715B6">
        <w:rPr>
          <w:bCs/>
          <w:color w:val="000000" w:themeColor="text1"/>
          <w:sz w:val="26"/>
          <w:szCs w:val="26"/>
        </w:rPr>
        <w:t xml:space="preserve">, статуса участника ликвидации  последствий катастрофы на Чернобыльской АЭС, других радиационных аварий, статуса потерпевшего от катастрофы на Чернобыльской АЭС, других радиационных аварий, а также выдачи документов, </w:t>
      </w:r>
      <w:r w:rsidR="00BE623D">
        <w:rPr>
          <w:bCs/>
          <w:color w:val="000000" w:themeColor="text1"/>
          <w:sz w:val="26"/>
          <w:szCs w:val="26"/>
        </w:rPr>
        <w:t>подтверждающих право на льготы».</w:t>
      </w:r>
    </w:p>
    <w:sectPr w:rsidR="007A319B" w:rsidRPr="002715B6" w:rsidSect="00BE623D">
      <w:pgSz w:w="16838" w:h="11906" w:orient="landscape"/>
      <w:pgMar w:top="851" w:right="851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3F66"/>
    <w:multiLevelType w:val="hybridMultilevel"/>
    <w:tmpl w:val="816473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14343"/>
    <w:multiLevelType w:val="hybridMultilevel"/>
    <w:tmpl w:val="FEE65B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B2"/>
    <w:rsid w:val="00010CCE"/>
    <w:rsid w:val="00016FAB"/>
    <w:rsid w:val="00026691"/>
    <w:rsid w:val="00066962"/>
    <w:rsid w:val="00071450"/>
    <w:rsid w:val="00073EDE"/>
    <w:rsid w:val="00074E39"/>
    <w:rsid w:val="0008590E"/>
    <w:rsid w:val="0010765F"/>
    <w:rsid w:val="00120497"/>
    <w:rsid w:val="0012538C"/>
    <w:rsid w:val="001459F0"/>
    <w:rsid w:val="001663F8"/>
    <w:rsid w:val="001858C0"/>
    <w:rsid w:val="001A0B6A"/>
    <w:rsid w:val="001A1BB2"/>
    <w:rsid w:val="00235603"/>
    <w:rsid w:val="00266360"/>
    <w:rsid w:val="0026682C"/>
    <w:rsid w:val="002715B6"/>
    <w:rsid w:val="002F268B"/>
    <w:rsid w:val="0032536A"/>
    <w:rsid w:val="003529DD"/>
    <w:rsid w:val="00356348"/>
    <w:rsid w:val="0036240B"/>
    <w:rsid w:val="00384528"/>
    <w:rsid w:val="0041032E"/>
    <w:rsid w:val="004322BB"/>
    <w:rsid w:val="00440D19"/>
    <w:rsid w:val="00473651"/>
    <w:rsid w:val="00482DA7"/>
    <w:rsid w:val="004A1DD8"/>
    <w:rsid w:val="004F0AEE"/>
    <w:rsid w:val="0051691C"/>
    <w:rsid w:val="00525302"/>
    <w:rsid w:val="00564A96"/>
    <w:rsid w:val="005742AB"/>
    <w:rsid w:val="005A3DFC"/>
    <w:rsid w:val="005D5AF6"/>
    <w:rsid w:val="005E444E"/>
    <w:rsid w:val="00623FA7"/>
    <w:rsid w:val="00635B6F"/>
    <w:rsid w:val="0065693F"/>
    <w:rsid w:val="00682B97"/>
    <w:rsid w:val="006B1F0E"/>
    <w:rsid w:val="006C647D"/>
    <w:rsid w:val="006F5053"/>
    <w:rsid w:val="00727323"/>
    <w:rsid w:val="00743C33"/>
    <w:rsid w:val="007564CB"/>
    <w:rsid w:val="007A319B"/>
    <w:rsid w:val="007A754E"/>
    <w:rsid w:val="007B070B"/>
    <w:rsid w:val="00864DE3"/>
    <w:rsid w:val="00922E19"/>
    <w:rsid w:val="00955576"/>
    <w:rsid w:val="00963C6A"/>
    <w:rsid w:val="0096548C"/>
    <w:rsid w:val="00992463"/>
    <w:rsid w:val="009A6298"/>
    <w:rsid w:val="00A07CEA"/>
    <w:rsid w:val="00A1201E"/>
    <w:rsid w:val="00A24DE2"/>
    <w:rsid w:val="00A41AAD"/>
    <w:rsid w:val="00AF317C"/>
    <w:rsid w:val="00B00A19"/>
    <w:rsid w:val="00B16950"/>
    <w:rsid w:val="00B303CA"/>
    <w:rsid w:val="00B67A3D"/>
    <w:rsid w:val="00B84C2D"/>
    <w:rsid w:val="00BB257D"/>
    <w:rsid w:val="00BB60CD"/>
    <w:rsid w:val="00BD2027"/>
    <w:rsid w:val="00BE623D"/>
    <w:rsid w:val="00BE750B"/>
    <w:rsid w:val="00C21321"/>
    <w:rsid w:val="00C46DD3"/>
    <w:rsid w:val="00C711C3"/>
    <w:rsid w:val="00CF3FCB"/>
    <w:rsid w:val="00D30096"/>
    <w:rsid w:val="00D30FD0"/>
    <w:rsid w:val="00D40E61"/>
    <w:rsid w:val="00D716C3"/>
    <w:rsid w:val="00D803CB"/>
    <w:rsid w:val="00D97B7E"/>
    <w:rsid w:val="00E20030"/>
    <w:rsid w:val="00E8374D"/>
    <w:rsid w:val="00EB55C7"/>
    <w:rsid w:val="00EB60E7"/>
    <w:rsid w:val="00F204E0"/>
    <w:rsid w:val="00FD7425"/>
    <w:rsid w:val="00FE27C9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1859"/>
  <w15:chartTrackingRefBased/>
  <w15:docId w15:val="{5FC9C905-DE0D-4972-A92A-A83987C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4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4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E444E"/>
  </w:style>
  <w:style w:type="table" w:styleId="a5">
    <w:name w:val="Table Grid"/>
    <w:basedOn w:val="a1"/>
    <w:uiPriority w:val="39"/>
    <w:rsid w:val="00AF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AF317C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F317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AF317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2356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5B6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5B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DC9B-F931-412C-801A-96A8A28C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Степанькова Мария Александровна</dc:creator>
  <cp:keywords/>
  <dc:description/>
  <cp:lastModifiedBy>Степанькова Мария Александровна</cp:lastModifiedBy>
  <cp:revision>89</cp:revision>
  <cp:lastPrinted>2023-11-21T05:58:00Z</cp:lastPrinted>
  <dcterms:created xsi:type="dcterms:W3CDTF">2023-11-16T07:20:00Z</dcterms:created>
  <dcterms:modified xsi:type="dcterms:W3CDTF">2023-11-23T05:14:00Z</dcterms:modified>
</cp:coreProperties>
</file>