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55" w:rsidRDefault="00137EC9" w:rsidP="003F6010">
      <w:pPr>
        <w:spacing w:after="0"/>
        <w:jc w:val="center"/>
        <w:rPr>
          <w:rFonts w:ascii="Times New Roman" w:hAnsi="Times New Roman" w:cs="Times New Roman"/>
          <w:b/>
        </w:rPr>
      </w:pPr>
      <w:r w:rsidRPr="00137EC9">
        <w:rPr>
          <w:rFonts w:ascii="Times New Roman" w:hAnsi="Times New Roman" w:cs="Times New Roman"/>
          <w:b/>
        </w:rPr>
        <w:t>Извещение о проведении открытого аукциона</w:t>
      </w:r>
      <w:r w:rsidR="003B685E">
        <w:rPr>
          <w:rFonts w:ascii="Times New Roman" w:hAnsi="Times New Roman" w:cs="Times New Roman"/>
          <w:b/>
        </w:rPr>
        <w:t xml:space="preserve"> 22 декабря 2023 года</w:t>
      </w:r>
      <w:r w:rsidRPr="00137EC9">
        <w:rPr>
          <w:rFonts w:ascii="Times New Roman" w:hAnsi="Times New Roman" w:cs="Times New Roman"/>
          <w:b/>
        </w:rPr>
        <w:t xml:space="preserve"> по продаже пустующего дома признанного бесхозяйным и переданного </w:t>
      </w:r>
    </w:p>
    <w:p w:rsidR="00225788" w:rsidRDefault="00137EC9" w:rsidP="003F6010">
      <w:pPr>
        <w:spacing w:after="0"/>
        <w:jc w:val="center"/>
        <w:rPr>
          <w:rFonts w:ascii="Times New Roman" w:hAnsi="Times New Roman" w:cs="Times New Roman"/>
          <w:b/>
        </w:rPr>
      </w:pPr>
      <w:r w:rsidRPr="00137EC9">
        <w:rPr>
          <w:rFonts w:ascii="Times New Roman" w:hAnsi="Times New Roman" w:cs="Times New Roman"/>
          <w:b/>
        </w:rPr>
        <w:t>в собственность Каменского сельсовета Мозырского района</w:t>
      </w:r>
    </w:p>
    <w:p w:rsidR="003F6010" w:rsidRPr="003F6010" w:rsidRDefault="003F6010" w:rsidP="003F601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7EC9" w:rsidRDefault="00137EC9" w:rsidP="006E0CA8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137EC9">
        <w:rPr>
          <w:rFonts w:ascii="Times New Roman" w:hAnsi="Times New Roman" w:cs="Times New Roman"/>
        </w:rPr>
        <w:t>Аукцион проводится</w:t>
      </w:r>
      <w:r>
        <w:rPr>
          <w:rFonts w:ascii="Times New Roman" w:hAnsi="Times New Roman" w:cs="Times New Roman"/>
        </w:rPr>
        <w:t xml:space="preserve"> в соответствии с Указом Президента Республики Беларусь от 24 марта 2021г. № 116 «Об отчуждении жилых домов в сельской </w:t>
      </w:r>
      <w:r w:rsidR="003F60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местности и совершенствовании работы с пустующими домами», с Постановлением Совета Министров Республики Беларусь от 23 сентября 2021 года № 547 «О реализации Указа Президента Республики Беларусь от 24 марта 2021г. № 116», на основании решения Каменского сельского исполнительного комитета   продается пустующий дом:</w:t>
      </w:r>
      <w:proofErr w:type="gramEnd"/>
    </w:p>
    <w:tbl>
      <w:tblPr>
        <w:tblStyle w:val="a3"/>
        <w:tblW w:w="15134" w:type="dxa"/>
        <w:tblInd w:w="409" w:type="dxa"/>
        <w:tblLook w:val="04A0"/>
      </w:tblPr>
      <w:tblGrid>
        <w:gridCol w:w="1967"/>
        <w:gridCol w:w="13167"/>
      </w:tblGrid>
      <w:tr w:rsidR="00137EC9" w:rsidTr="003F6010">
        <w:tc>
          <w:tcPr>
            <w:tcW w:w="1967" w:type="dxa"/>
          </w:tcPr>
          <w:p w:rsidR="00137EC9" w:rsidRPr="00137EC9" w:rsidRDefault="00137EC9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EC9">
              <w:rPr>
                <w:rFonts w:ascii="Times New Roman" w:hAnsi="Times New Roman" w:cs="Times New Roman"/>
                <w:sz w:val="20"/>
                <w:szCs w:val="20"/>
              </w:rPr>
              <w:t>Форма проведения аукциона</w:t>
            </w:r>
          </w:p>
        </w:tc>
        <w:tc>
          <w:tcPr>
            <w:tcW w:w="13167" w:type="dxa"/>
          </w:tcPr>
          <w:p w:rsidR="00137EC9" w:rsidRDefault="00137EC9" w:rsidP="00137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137EC9" w:rsidTr="003F6010">
        <w:tc>
          <w:tcPr>
            <w:tcW w:w="1967" w:type="dxa"/>
          </w:tcPr>
          <w:p w:rsidR="00137EC9" w:rsidRPr="00137EC9" w:rsidRDefault="00137EC9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EC9">
              <w:rPr>
                <w:rFonts w:ascii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13167" w:type="dxa"/>
          </w:tcPr>
          <w:p w:rsidR="00137EC9" w:rsidRDefault="00137EC9" w:rsidP="003B6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D5555" w:rsidRPr="001E1204">
              <w:rPr>
                <w:rFonts w:ascii="Times New Roman" w:hAnsi="Times New Roman" w:cs="Times New Roman"/>
                <w:u w:val="single"/>
              </w:rPr>
              <w:t xml:space="preserve">22 декабря </w:t>
            </w:r>
            <w:r w:rsidRPr="001E1204">
              <w:rPr>
                <w:rFonts w:ascii="Times New Roman" w:hAnsi="Times New Roman" w:cs="Times New Roman"/>
                <w:u w:val="single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года в </w:t>
            </w:r>
            <w:r w:rsidR="001E1204">
              <w:rPr>
                <w:rFonts w:ascii="Times New Roman" w:hAnsi="Times New Roman" w:cs="Times New Roman"/>
                <w:u w:val="single"/>
              </w:rPr>
              <w:t>10.00</w:t>
            </w:r>
            <w:r w:rsidR="003B685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B28AC">
              <w:rPr>
                <w:rFonts w:ascii="Times New Roman" w:hAnsi="Times New Roman" w:cs="Times New Roman"/>
                <w:u w:val="single"/>
              </w:rPr>
              <w:t>ч</w:t>
            </w:r>
            <w:r w:rsidR="003B685E">
              <w:rPr>
                <w:rFonts w:ascii="Times New Roman" w:hAnsi="Times New Roman" w:cs="Times New Roman"/>
                <w:u w:val="single"/>
              </w:rPr>
              <w:t>а</w:t>
            </w:r>
            <w:r w:rsidR="00FB28AC">
              <w:rPr>
                <w:rFonts w:ascii="Times New Roman" w:hAnsi="Times New Roman" w:cs="Times New Roman"/>
                <w:u w:val="single"/>
              </w:rPr>
              <w:t>с</w:t>
            </w:r>
            <w:proofErr w:type="gramStart"/>
            <w:r w:rsidR="003B685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</w:rPr>
              <w:t xml:space="preserve">Мозырский районный исполнительный комитет по адресу: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Гомельская область, г. Мозырь, </w:t>
            </w:r>
            <w:r w:rsidR="003B685E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пл. Ленина, 16, 1 этаж, малый зал</w:t>
            </w:r>
            <w:proofErr w:type="gramEnd"/>
          </w:p>
        </w:tc>
      </w:tr>
      <w:tr w:rsidR="00137EC9" w:rsidTr="003F6010">
        <w:tc>
          <w:tcPr>
            <w:tcW w:w="1967" w:type="dxa"/>
          </w:tcPr>
          <w:p w:rsidR="00137EC9" w:rsidRPr="00137EC9" w:rsidRDefault="00137EC9" w:rsidP="00137E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лота </w:t>
            </w:r>
          </w:p>
        </w:tc>
        <w:tc>
          <w:tcPr>
            <w:tcW w:w="13167" w:type="dxa"/>
          </w:tcPr>
          <w:p w:rsidR="00137EC9" w:rsidRPr="00137EC9" w:rsidRDefault="00137EC9" w:rsidP="009D5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7EC9">
              <w:rPr>
                <w:rFonts w:ascii="Times New Roman" w:hAnsi="Times New Roman" w:cs="Times New Roman"/>
                <w:b/>
              </w:rPr>
              <w:t xml:space="preserve">№ </w:t>
            </w:r>
            <w:r w:rsidR="009D555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37EC9" w:rsidTr="003F6010">
        <w:tc>
          <w:tcPr>
            <w:tcW w:w="1967" w:type="dxa"/>
          </w:tcPr>
          <w:p w:rsidR="00137EC9" w:rsidRPr="00137EC9" w:rsidRDefault="00137EC9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земельного участка</w:t>
            </w:r>
          </w:p>
        </w:tc>
        <w:tc>
          <w:tcPr>
            <w:tcW w:w="13167" w:type="dxa"/>
          </w:tcPr>
          <w:p w:rsidR="00137EC9" w:rsidRPr="004A3274" w:rsidRDefault="00137EC9" w:rsidP="004A3274">
            <w:pPr>
              <w:jc w:val="both"/>
              <w:rPr>
                <w:rFonts w:ascii="Times New Roman" w:hAnsi="Times New Roman" w:cs="Times New Roman"/>
              </w:rPr>
            </w:pPr>
            <w:r w:rsidRPr="004A3274">
              <w:rPr>
                <w:rFonts w:ascii="Times New Roman" w:hAnsi="Times New Roman" w:cs="Times New Roman"/>
              </w:rPr>
              <w:t xml:space="preserve">Не зарегистрирован, сведения в ЕГРНИ </w:t>
            </w:r>
            <w:r w:rsidR="004A3274">
              <w:rPr>
                <w:rFonts w:ascii="Times New Roman" w:hAnsi="Times New Roman" w:cs="Times New Roman"/>
              </w:rPr>
              <w:t xml:space="preserve"> отсутствуют, согласно книгам </w:t>
            </w:r>
            <w:proofErr w:type="spellStart"/>
            <w:r w:rsidR="004A3274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="004A3274">
              <w:rPr>
                <w:rFonts w:ascii="Times New Roman" w:hAnsi="Times New Roman" w:cs="Times New Roman"/>
              </w:rPr>
              <w:t xml:space="preserve"> учета 0,15 га</w:t>
            </w:r>
          </w:p>
        </w:tc>
      </w:tr>
      <w:tr w:rsidR="004A3274" w:rsidTr="003F6010">
        <w:tc>
          <w:tcPr>
            <w:tcW w:w="1967" w:type="dxa"/>
          </w:tcPr>
          <w:p w:rsidR="004A3274" w:rsidRDefault="004A3274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и характеристика пустующего дома</w:t>
            </w:r>
          </w:p>
        </w:tc>
        <w:tc>
          <w:tcPr>
            <w:tcW w:w="13167" w:type="dxa"/>
          </w:tcPr>
          <w:p w:rsidR="004A3274" w:rsidRDefault="004A3274" w:rsidP="004A3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Гомельская область, Мозырский район, деревня Великий Боков, улица Тепличная, дом 3. </w:t>
            </w:r>
            <w:proofErr w:type="spellStart"/>
            <w:r>
              <w:rPr>
                <w:rFonts w:ascii="Times New Roman" w:hAnsi="Times New Roman" w:cs="Times New Roman"/>
              </w:rPr>
              <w:t>Одноэтажнеый</w:t>
            </w:r>
            <w:proofErr w:type="spellEnd"/>
            <w:r>
              <w:rPr>
                <w:rFonts w:ascii="Times New Roman" w:hAnsi="Times New Roman" w:cs="Times New Roman"/>
              </w:rPr>
              <w:t>, одноквартирный жилой дом</w:t>
            </w:r>
            <w:r w:rsidR="00F079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1963 года постройки, общей площадью 35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 Бревенчатый, фундамент бетонный, кровля шиферная, полы дощатые. Отопление, водопровод имеется, канализация, газоснабжение, электроснабжение – отсутствует.</w:t>
            </w:r>
          </w:p>
          <w:p w:rsidR="004A3274" w:rsidRDefault="004A3274" w:rsidP="004A3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износа не установлена</w:t>
            </w:r>
          </w:p>
          <w:p w:rsidR="004A3274" w:rsidRPr="004A3274" w:rsidRDefault="004A3274" w:rsidP="004A3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Инвентарный номер – сведений не имеется </w:t>
            </w:r>
          </w:p>
        </w:tc>
      </w:tr>
      <w:tr w:rsidR="004A3274" w:rsidTr="003F6010">
        <w:tc>
          <w:tcPr>
            <w:tcW w:w="1967" w:type="dxa"/>
          </w:tcPr>
          <w:p w:rsidR="004A3274" w:rsidRDefault="004A3274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продажи</w:t>
            </w:r>
          </w:p>
          <w:p w:rsidR="004A3274" w:rsidRDefault="004A3274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пустующего дома</w:t>
            </w:r>
          </w:p>
        </w:tc>
        <w:tc>
          <w:tcPr>
            <w:tcW w:w="13167" w:type="dxa"/>
          </w:tcPr>
          <w:p w:rsidR="004A3274" w:rsidRDefault="004A3274" w:rsidP="004A3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</w:t>
            </w:r>
          </w:p>
        </w:tc>
      </w:tr>
      <w:tr w:rsidR="004A3274" w:rsidTr="003F6010">
        <w:tc>
          <w:tcPr>
            <w:tcW w:w="1967" w:type="dxa"/>
          </w:tcPr>
          <w:p w:rsidR="004A3274" w:rsidRDefault="004A3274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пустующего дома </w:t>
            </w:r>
          </w:p>
        </w:tc>
        <w:tc>
          <w:tcPr>
            <w:tcW w:w="13167" w:type="dxa"/>
          </w:tcPr>
          <w:p w:rsidR="004A3274" w:rsidRDefault="004A3274" w:rsidP="004A3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37.00 белорусских рублей (1 базовая величина)</w:t>
            </w:r>
          </w:p>
        </w:tc>
      </w:tr>
      <w:tr w:rsidR="004A3274" w:rsidTr="003F6010">
        <w:tc>
          <w:tcPr>
            <w:tcW w:w="1967" w:type="dxa"/>
          </w:tcPr>
          <w:p w:rsidR="004A3274" w:rsidRDefault="004A3274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13167" w:type="dxa"/>
          </w:tcPr>
          <w:p w:rsidR="004A3274" w:rsidRDefault="004A3274" w:rsidP="004A3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размере 15% от предыдущей цены</w:t>
            </w:r>
          </w:p>
        </w:tc>
      </w:tr>
      <w:tr w:rsidR="004A3274" w:rsidTr="003F6010">
        <w:tc>
          <w:tcPr>
            <w:tcW w:w="1967" w:type="dxa"/>
          </w:tcPr>
          <w:p w:rsidR="004A3274" w:rsidRDefault="006E0CA8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задатка</w:t>
            </w:r>
          </w:p>
        </w:tc>
        <w:tc>
          <w:tcPr>
            <w:tcW w:w="13167" w:type="dxa"/>
          </w:tcPr>
          <w:p w:rsidR="004A3274" w:rsidRDefault="006E0CA8" w:rsidP="004A32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 (пять рублей) оплата производится до подачи заявления</w:t>
            </w:r>
          </w:p>
        </w:tc>
      </w:tr>
      <w:tr w:rsidR="006E0CA8" w:rsidTr="003F6010">
        <w:tc>
          <w:tcPr>
            <w:tcW w:w="1967" w:type="dxa"/>
          </w:tcPr>
          <w:p w:rsidR="006E0CA8" w:rsidRDefault="006E0CA8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для оплаты</w:t>
            </w:r>
          </w:p>
        </w:tc>
        <w:tc>
          <w:tcPr>
            <w:tcW w:w="13167" w:type="dxa"/>
          </w:tcPr>
          <w:p w:rsidR="006E0CA8" w:rsidRPr="003F6010" w:rsidRDefault="006E0CA8" w:rsidP="006E0CA8">
            <w:pPr>
              <w:ind w:right="-6027"/>
              <w:rPr>
                <w:rFonts w:ascii="Times New Roman" w:hAnsi="Times New Roman" w:cs="Times New Roman"/>
              </w:rPr>
            </w:pPr>
            <w:r w:rsidRPr="003F6010">
              <w:rPr>
                <w:rFonts w:ascii="Times New Roman" w:hAnsi="Times New Roman" w:cs="Times New Roman"/>
              </w:rPr>
              <w:t xml:space="preserve">Каменский сельский исполнительный комитет, </w:t>
            </w:r>
          </w:p>
          <w:p w:rsidR="006E0CA8" w:rsidRPr="003F6010" w:rsidRDefault="006E0CA8" w:rsidP="006E0CA8">
            <w:pPr>
              <w:ind w:right="-602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01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F6010">
              <w:rPr>
                <w:rFonts w:ascii="Times New Roman" w:hAnsi="Times New Roman" w:cs="Times New Roman"/>
              </w:rPr>
              <w:t xml:space="preserve">/с </w:t>
            </w:r>
            <w:r w:rsidRPr="003F6010">
              <w:rPr>
                <w:rFonts w:ascii="Times New Roman" w:hAnsi="Times New Roman" w:cs="Times New Roman"/>
                <w:lang w:val="en-US"/>
              </w:rPr>
              <w:t>BY</w:t>
            </w:r>
            <w:r w:rsidR="00F0796E">
              <w:rPr>
                <w:rFonts w:ascii="Times New Roman" w:hAnsi="Times New Roman" w:cs="Times New Roman"/>
              </w:rPr>
              <w:t>80</w:t>
            </w:r>
            <w:r w:rsidRPr="003F6010">
              <w:rPr>
                <w:rFonts w:ascii="Times New Roman" w:hAnsi="Times New Roman" w:cs="Times New Roman"/>
                <w:lang w:val="en-US"/>
              </w:rPr>
              <w:t>AKBB</w:t>
            </w:r>
            <w:r w:rsidR="00F0796E">
              <w:rPr>
                <w:rFonts w:ascii="Times New Roman" w:hAnsi="Times New Roman" w:cs="Times New Roman"/>
              </w:rPr>
              <w:t>3604423020173330</w:t>
            </w:r>
            <w:r w:rsidRPr="003F6010">
              <w:rPr>
                <w:rFonts w:ascii="Times New Roman" w:hAnsi="Times New Roman" w:cs="Times New Roman"/>
              </w:rPr>
              <w:t>0000</w:t>
            </w:r>
          </w:p>
          <w:p w:rsidR="006E0CA8" w:rsidRPr="003F6010" w:rsidRDefault="006E0CA8" w:rsidP="006E0CA8">
            <w:pPr>
              <w:shd w:val="clear" w:color="auto" w:fill="FFFFFF"/>
              <w:rPr>
                <w:rFonts w:ascii="Times New Roman" w:hAnsi="Times New Roman" w:cs="Times New Roman"/>
                <w:lang w:val="be-BY"/>
              </w:rPr>
            </w:pPr>
            <w:r w:rsidRPr="003F6010">
              <w:rPr>
                <w:rFonts w:ascii="Times New Roman" w:hAnsi="Times New Roman" w:cs="Times New Roman"/>
              </w:rPr>
              <w:t xml:space="preserve">«АСБ </w:t>
            </w:r>
            <w:proofErr w:type="spellStart"/>
            <w:r w:rsidRPr="003F6010">
              <w:rPr>
                <w:rFonts w:ascii="Times New Roman" w:hAnsi="Times New Roman" w:cs="Times New Roman"/>
              </w:rPr>
              <w:t>Беларусбанк</w:t>
            </w:r>
            <w:proofErr w:type="spellEnd"/>
            <w:r w:rsidRPr="003F6010">
              <w:rPr>
                <w:rFonts w:ascii="Times New Roman" w:hAnsi="Times New Roman" w:cs="Times New Roman"/>
              </w:rPr>
              <w:t>»  г</w:t>
            </w:r>
            <w:proofErr w:type="gramStart"/>
            <w:r w:rsidRPr="003F6010">
              <w:rPr>
                <w:rFonts w:ascii="Times New Roman" w:hAnsi="Times New Roman" w:cs="Times New Roman"/>
              </w:rPr>
              <w:t>.М</w:t>
            </w:r>
            <w:proofErr w:type="gramEnd"/>
            <w:r w:rsidRPr="003F6010">
              <w:rPr>
                <w:rFonts w:ascii="Times New Roman" w:hAnsi="Times New Roman" w:cs="Times New Roman"/>
              </w:rPr>
              <w:t xml:space="preserve">инск, </w:t>
            </w:r>
            <w:proofErr w:type="spellStart"/>
            <w:r w:rsidRPr="003F6010">
              <w:rPr>
                <w:rFonts w:ascii="Times New Roman" w:hAnsi="Times New Roman" w:cs="Times New Roman"/>
              </w:rPr>
              <w:t>пр-т.Держинского</w:t>
            </w:r>
            <w:proofErr w:type="spellEnd"/>
            <w:r w:rsidRPr="003F6010">
              <w:rPr>
                <w:rFonts w:ascii="Times New Roman" w:hAnsi="Times New Roman" w:cs="Times New Roman"/>
              </w:rPr>
              <w:t xml:space="preserve">, 18 </w:t>
            </w:r>
            <w:r w:rsidRPr="003F6010">
              <w:rPr>
                <w:rFonts w:ascii="Times New Roman" w:hAnsi="Times New Roman" w:cs="Times New Roman"/>
                <w:lang w:val="be-BY"/>
              </w:rPr>
              <w:t xml:space="preserve">БИК </w:t>
            </w:r>
            <w:r w:rsidRPr="003F6010">
              <w:rPr>
                <w:rFonts w:ascii="Times New Roman" w:hAnsi="Times New Roman" w:cs="Times New Roman"/>
                <w:lang w:val="en-US"/>
              </w:rPr>
              <w:t>AKBBBY</w:t>
            </w:r>
            <w:r w:rsidRPr="003F6010">
              <w:rPr>
                <w:rFonts w:ascii="Times New Roman" w:hAnsi="Times New Roman" w:cs="Times New Roman"/>
                <w:lang w:val="be-BY"/>
              </w:rPr>
              <w:t>2Х</w:t>
            </w:r>
          </w:p>
          <w:p w:rsidR="006E0CA8" w:rsidRPr="003F6010" w:rsidRDefault="006E0CA8" w:rsidP="003F6010">
            <w:pPr>
              <w:ind w:right="-6027"/>
              <w:rPr>
                <w:rFonts w:ascii="Times New Roman" w:hAnsi="Times New Roman" w:cs="Times New Roman"/>
              </w:rPr>
            </w:pPr>
            <w:r w:rsidRPr="003F6010">
              <w:rPr>
                <w:rFonts w:ascii="Times New Roman" w:hAnsi="Times New Roman" w:cs="Times New Roman"/>
                <w:lang w:val="be-BY"/>
              </w:rPr>
              <w:t xml:space="preserve">УНП </w:t>
            </w:r>
            <w:r w:rsidRPr="003F6010">
              <w:rPr>
                <w:rFonts w:ascii="Times New Roman" w:hAnsi="Times New Roman" w:cs="Times New Roman"/>
              </w:rPr>
              <w:t>400065037 ОТНР 90104 (задаток за участие в аукционе)</w:t>
            </w:r>
          </w:p>
        </w:tc>
      </w:tr>
      <w:tr w:rsidR="006E0CA8" w:rsidTr="003F6010">
        <w:tc>
          <w:tcPr>
            <w:tcW w:w="1967" w:type="dxa"/>
          </w:tcPr>
          <w:p w:rsidR="006E0CA8" w:rsidRDefault="006E0CA8" w:rsidP="00137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Лица, которые допускаются к участию в аукционе</w:t>
            </w:r>
          </w:p>
        </w:tc>
        <w:tc>
          <w:tcPr>
            <w:tcW w:w="13167" w:type="dxa"/>
          </w:tcPr>
          <w:p w:rsidR="006E0CA8" w:rsidRPr="003F6010" w:rsidRDefault="006E0CA8" w:rsidP="006E0CA8">
            <w:pPr>
              <w:ind w:right="-6027"/>
              <w:rPr>
                <w:rFonts w:ascii="Times New Roman" w:hAnsi="Times New Roman" w:cs="Times New Roman"/>
              </w:rPr>
            </w:pPr>
            <w:proofErr w:type="gramStart"/>
            <w:r w:rsidRPr="003F6010">
              <w:rPr>
                <w:rFonts w:ascii="Times New Roman" w:eastAsia="Times New Roman" w:hAnsi="Times New Roman" w:cs="Times New Roman"/>
                <w:lang w:eastAsia="ru-RU"/>
              </w:rPr>
              <w:t>Граждане Республики Беларусь, иностранные граждане, лица  без гражданства (далее – граждане), индивидуальные предприниматели и </w:t>
            </w:r>
            <w:r w:rsidR="003F601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</w:t>
            </w:r>
            <w:r w:rsidRPr="003F6010">
              <w:rPr>
                <w:rFonts w:ascii="Times New Roman" w:eastAsia="Times New Roman" w:hAnsi="Times New Roman" w:cs="Times New Roman"/>
                <w:lang w:eastAsia="ru-RU"/>
              </w:rPr>
              <w:t>юридические лица, подавшие в комиссию в указанные в извещении сроки заявления с приложением необходимых документов, внесшие</w:t>
            </w:r>
            <w:r w:rsidR="003F601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</w:t>
            </w:r>
            <w:r w:rsidRPr="003F6010">
              <w:rPr>
                <w:rFonts w:ascii="Times New Roman" w:eastAsia="Times New Roman" w:hAnsi="Times New Roman" w:cs="Times New Roman"/>
                <w:lang w:eastAsia="ru-RU"/>
              </w:rPr>
              <w:t xml:space="preserve"> задаток, а также подписавшие соглашение о правах, обязанностях и ответственности сторон в процессе подготовки и проведения </w:t>
            </w:r>
            <w:r w:rsidR="003F601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3F6010">
              <w:rPr>
                <w:rFonts w:ascii="Times New Roman" w:eastAsia="Times New Roman" w:hAnsi="Times New Roman" w:cs="Times New Roman"/>
                <w:lang w:eastAsia="ru-RU"/>
              </w:rPr>
              <w:t>аукциона по продаже пустующих жилых домов                                                                                  </w:t>
            </w:r>
            <w:proofErr w:type="gramEnd"/>
          </w:p>
        </w:tc>
      </w:tr>
      <w:tr w:rsidR="003F6010" w:rsidTr="003F6010">
        <w:tc>
          <w:tcPr>
            <w:tcW w:w="1967" w:type="dxa"/>
          </w:tcPr>
          <w:p w:rsidR="003F6010" w:rsidRPr="003F6010" w:rsidRDefault="003F6010" w:rsidP="00556BB5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документов, которые необходимо предоставить участникам </w:t>
            </w:r>
            <w:r w:rsidRPr="003F6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аукциона до его начала</w:t>
            </w:r>
          </w:p>
        </w:tc>
        <w:tc>
          <w:tcPr>
            <w:tcW w:w="13167" w:type="dxa"/>
          </w:tcPr>
          <w:p w:rsidR="003F6010" w:rsidRPr="003F6010" w:rsidRDefault="003F6010" w:rsidP="00556BB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заявление на участие в аукционе по установленной форме, к которому прилагаются следующие документы:</w:t>
            </w:r>
          </w:p>
          <w:p w:rsidR="003F6010" w:rsidRPr="003F6010" w:rsidRDefault="003F6010" w:rsidP="00556BB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9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платежного поручения о внесении суммы задатка</w:t>
            </w:r>
            <w:r w:rsidR="00D9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F6010" w:rsidRPr="003F6010" w:rsidRDefault="003F6010" w:rsidP="00556BB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9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 предъявляет – документ удостоверяющий личность;</w:t>
            </w:r>
          </w:p>
          <w:p w:rsidR="003F6010" w:rsidRPr="003F6010" w:rsidRDefault="003F6010" w:rsidP="00556BB5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3F6010" w:rsidRPr="003F6010" w:rsidRDefault="003F6010" w:rsidP="003F60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 подаче документов на участие в аукционе заключается СОГЛАШЕНИЕ о правах, обязанностях и ответственности сторон в </w:t>
            </w:r>
            <w:r w:rsidRPr="003F60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процессе подготовки и проведения аукциона 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Каменским</w:t>
            </w:r>
            <w:r w:rsidRPr="003F60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сельским исполнительным комитетом.</w:t>
            </w:r>
          </w:p>
        </w:tc>
      </w:tr>
      <w:tr w:rsidR="003F6010" w:rsidTr="003F6010">
        <w:tc>
          <w:tcPr>
            <w:tcW w:w="1967" w:type="dxa"/>
          </w:tcPr>
          <w:p w:rsidR="003F6010" w:rsidRPr="003F6010" w:rsidRDefault="003F6010" w:rsidP="00556BB5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Осмотр пустующего дома</w:t>
            </w:r>
          </w:p>
        </w:tc>
        <w:tc>
          <w:tcPr>
            <w:tcW w:w="13167" w:type="dxa"/>
          </w:tcPr>
          <w:p w:rsidR="003F6010" w:rsidRPr="003F6010" w:rsidRDefault="003F6010" w:rsidP="003F60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010">
              <w:rPr>
                <w:rFonts w:ascii="Times New Roman" w:hAnsi="Times New Roman" w:cs="Times New Roman"/>
              </w:rPr>
              <w:t xml:space="preserve">Осуществляется претендентом на покупку самостоятельно или в сопровождении представителей </w:t>
            </w:r>
            <w:r>
              <w:rPr>
                <w:rFonts w:ascii="Times New Roman" w:hAnsi="Times New Roman" w:cs="Times New Roman"/>
              </w:rPr>
              <w:t>Каменского</w:t>
            </w:r>
            <w:r w:rsidRPr="003F6010">
              <w:rPr>
                <w:rFonts w:ascii="Times New Roman" w:hAnsi="Times New Roman" w:cs="Times New Roman"/>
              </w:rPr>
              <w:t xml:space="preserve"> сельского исполнительного комитета в любое</w:t>
            </w:r>
            <w:r w:rsidR="00D939DD">
              <w:rPr>
                <w:rFonts w:ascii="Times New Roman" w:hAnsi="Times New Roman" w:cs="Times New Roman"/>
              </w:rPr>
              <w:t xml:space="preserve"> </w:t>
            </w:r>
            <w:r w:rsidRPr="003F6010">
              <w:rPr>
                <w:rFonts w:ascii="Times New Roman" w:hAnsi="Times New Roman" w:cs="Times New Roman"/>
              </w:rPr>
              <w:t xml:space="preserve">согласованное с ними рабочее время в течение установленного срока приема заявлений. </w:t>
            </w:r>
          </w:p>
        </w:tc>
      </w:tr>
      <w:tr w:rsidR="003F6010" w:rsidTr="003F6010">
        <w:tc>
          <w:tcPr>
            <w:tcW w:w="1967" w:type="dxa"/>
          </w:tcPr>
          <w:p w:rsidR="003F6010" w:rsidRPr="003F6010" w:rsidRDefault="003F6010" w:rsidP="00556BB5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0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заявлений об участии в аукционе</w:t>
            </w:r>
          </w:p>
        </w:tc>
        <w:tc>
          <w:tcPr>
            <w:tcW w:w="13167" w:type="dxa"/>
          </w:tcPr>
          <w:p w:rsidR="003F6010" w:rsidRPr="003F6010" w:rsidRDefault="003F6010" w:rsidP="00F0796E">
            <w:pPr>
              <w:ind w:firstLine="34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F601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Заявления на участие в аукционе принимаются </w:t>
            </w:r>
            <w:r w:rsidRPr="003F6010">
              <w:rPr>
                <w:rFonts w:ascii="Times New Roman" w:hAnsi="Times New Roman" w:cs="Times New Roman"/>
              </w:rPr>
              <w:t xml:space="preserve">с </w:t>
            </w:r>
            <w:r w:rsidR="00F0796E" w:rsidRPr="00F0796E">
              <w:rPr>
                <w:rFonts w:ascii="Times New Roman" w:hAnsi="Times New Roman" w:cs="Times New Roman"/>
                <w:u w:val="single"/>
              </w:rPr>
              <w:t xml:space="preserve">20 ноября </w:t>
            </w:r>
            <w:r w:rsidRPr="00F0796E">
              <w:rPr>
                <w:rFonts w:ascii="Times New Roman" w:hAnsi="Times New Roman" w:cs="Times New Roman"/>
                <w:u w:val="single"/>
              </w:rPr>
              <w:t>2023</w:t>
            </w:r>
            <w:r w:rsidRPr="003F6010">
              <w:rPr>
                <w:rFonts w:ascii="Times New Roman" w:hAnsi="Times New Roman" w:cs="Times New Roman"/>
              </w:rPr>
              <w:t xml:space="preserve"> г. комиссией по организации и проведению аукционов пустующих жилых домов, на территории  населенных пунктов Мозырского района  по адресу:  Мозырский район, </w:t>
            </w:r>
            <w:proofErr w:type="spellStart"/>
            <w:r w:rsidRPr="003F6010">
              <w:rPr>
                <w:rFonts w:ascii="Times New Roman" w:hAnsi="Times New Roman" w:cs="Times New Roman"/>
              </w:rPr>
              <w:t>аг</w:t>
            </w:r>
            <w:proofErr w:type="gramStart"/>
            <w:r w:rsidRPr="003F60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аменка</w:t>
            </w:r>
            <w:proofErr w:type="spellEnd"/>
            <w:r w:rsidRPr="003F6010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Советская, 6</w:t>
            </w:r>
            <w:r w:rsidRPr="003F6010">
              <w:rPr>
                <w:rFonts w:ascii="Times New Roman" w:hAnsi="Times New Roman" w:cs="Times New Roman"/>
              </w:rPr>
              <w:t xml:space="preserve">,  тел. </w:t>
            </w:r>
            <w:r>
              <w:rPr>
                <w:rFonts w:ascii="Times New Roman" w:hAnsi="Times New Roman" w:cs="Times New Roman"/>
              </w:rPr>
              <w:t>(80236) 395624, 395698</w:t>
            </w:r>
            <w:r w:rsidRPr="003F6010">
              <w:rPr>
                <w:rFonts w:ascii="Times New Roman" w:hAnsi="Times New Roman" w:cs="Times New Roman"/>
              </w:rPr>
              <w:t xml:space="preserve"> </w:t>
            </w:r>
            <w:r w:rsidRPr="003F601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рабочие дни  с 8.30 до 13.00 и с 14.00 до 17.30, последний день приема заявлений  </w:t>
            </w:r>
            <w:r w:rsidR="00F0796E" w:rsidRPr="00F0796E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eastAsia="ru-RU"/>
              </w:rPr>
              <w:t>19 декабря</w:t>
            </w:r>
            <w:r w:rsidRPr="00F0796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2023</w:t>
            </w:r>
            <w:r w:rsidRPr="003F601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3B685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3F6010">
              <w:rPr>
                <w:rFonts w:ascii="Times New Roman" w:eastAsia="Times New Roman" w:hAnsi="Times New Roman" w:cs="Times New Roman"/>
                <w:lang w:eastAsia="ru-RU"/>
              </w:rPr>
              <w:t xml:space="preserve"> до 17.30. </w:t>
            </w:r>
          </w:p>
        </w:tc>
      </w:tr>
    </w:tbl>
    <w:p w:rsidR="003F6010" w:rsidRPr="003F6010" w:rsidRDefault="003F6010" w:rsidP="003F6010">
      <w:pPr>
        <w:spacing w:after="0" w:line="240" w:lineRule="auto"/>
        <w:ind w:left="284" w:firstLine="565"/>
        <w:jc w:val="both"/>
        <w:rPr>
          <w:rFonts w:ascii="Times New Roman" w:eastAsia="Times New Roman" w:hAnsi="Times New Roman" w:cs="Times New Roman"/>
          <w:lang w:eastAsia="ru-RU"/>
        </w:rPr>
      </w:pPr>
      <w:r w:rsidRPr="003F6010">
        <w:rPr>
          <w:rFonts w:ascii="Times New Roman" w:eastAsia="Times New Roman" w:hAnsi="Times New Roman" w:cs="Times New Roman"/>
          <w:lang w:eastAsia="ru-RU"/>
        </w:rPr>
        <w:t>Победитель аукциона, либо единственный участник несостоявшегося аукциона, выразивший согласие на предоставление ему пустующего дома  в частную собственность с внесением платы за пустующий дом в размере начальной цены предмета аукциона, увеличенной на 5 %, </w:t>
      </w:r>
      <w:r w:rsidRPr="003F6010">
        <w:rPr>
          <w:rFonts w:ascii="Times New Roman" w:eastAsia="Times New Roman" w:hAnsi="Times New Roman" w:cs="Times New Roman"/>
          <w:b/>
          <w:bCs/>
          <w:lang w:eastAsia="ru-RU"/>
        </w:rPr>
        <w:t>обязан:</w:t>
      </w:r>
    </w:p>
    <w:p w:rsidR="003F6010" w:rsidRPr="003F6010" w:rsidRDefault="003F6010" w:rsidP="003F60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3F6010">
        <w:rPr>
          <w:rFonts w:ascii="Times New Roman" w:eastAsia="Times New Roman" w:hAnsi="Times New Roman" w:cs="Times New Roman"/>
          <w:lang w:eastAsia="ru-RU"/>
        </w:rPr>
        <w:t xml:space="preserve">в течение 10 рабочих дней со дня утверждения протокола о результатах аукциона или признания аукциона </w:t>
      </w:r>
      <w:proofErr w:type="gramStart"/>
      <w:r w:rsidRPr="003F6010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3F6010" w:rsidRPr="003F6010" w:rsidRDefault="003F6010" w:rsidP="003F60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3F6010">
        <w:rPr>
          <w:rFonts w:ascii="Times New Roman" w:eastAsia="Times New Roman" w:hAnsi="Times New Roman" w:cs="Times New Roman"/>
          <w:lang w:eastAsia="ru-RU"/>
        </w:rPr>
        <w:t>- возместить затраты на организацию и проведение аукциона, внести плату за предмет аукциона.</w:t>
      </w:r>
    </w:p>
    <w:p w:rsidR="003F6010" w:rsidRPr="003F6010" w:rsidRDefault="003F6010" w:rsidP="003F60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3F6010">
        <w:rPr>
          <w:rFonts w:ascii="Times New Roman" w:eastAsia="Times New Roman" w:hAnsi="Times New Roman" w:cs="Times New Roman"/>
          <w:lang w:eastAsia="ru-RU"/>
        </w:rPr>
        <w:t>- подать заявление о предоставлении земельного участка.</w:t>
      </w:r>
    </w:p>
    <w:p w:rsidR="003F6010" w:rsidRPr="003F6010" w:rsidRDefault="003F6010" w:rsidP="003F6010">
      <w:pPr>
        <w:spacing w:after="0" w:line="240" w:lineRule="auto"/>
        <w:ind w:left="284" w:firstLine="565"/>
        <w:jc w:val="both"/>
        <w:rPr>
          <w:rFonts w:ascii="Times New Roman" w:eastAsia="Times New Roman" w:hAnsi="Times New Roman" w:cs="Times New Roman"/>
          <w:lang w:eastAsia="ru-RU"/>
        </w:rPr>
      </w:pPr>
      <w:r w:rsidRPr="003F6010">
        <w:rPr>
          <w:rFonts w:ascii="Times New Roman" w:eastAsia="Times New Roman" w:hAnsi="Times New Roman" w:cs="Times New Roman"/>
          <w:lang w:eastAsia="ru-RU"/>
        </w:rPr>
        <w:t>После принятия соответствующего решения – обратиться в Мозырский филиал РУП «Гомельское  агентство по государственной регистрации и земельному кадастру» за государственной регистрацией земельного участка и жилого дома.</w:t>
      </w:r>
    </w:p>
    <w:p w:rsidR="003F6010" w:rsidRPr="003F6010" w:rsidRDefault="003F6010" w:rsidP="003F6010">
      <w:pPr>
        <w:ind w:left="851"/>
        <w:jc w:val="both"/>
        <w:rPr>
          <w:rFonts w:ascii="Times New Roman" w:hAnsi="Times New Roman" w:cs="Times New Roman"/>
        </w:rPr>
      </w:pPr>
    </w:p>
    <w:p w:rsidR="003F6010" w:rsidRPr="00137EC9" w:rsidRDefault="003F6010" w:rsidP="003F6010">
      <w:pPr>
        <w:jc w:val="both"/>
        <w:rPr>
          <w:rFonts w:ascii="Times New Roman" w:hAnsi="Times New Roman" w:cs="Times New Roman"/>
        </w:rPr>
      </w:pPr>
    </w:p>
    <w:p w:rsidR="006E0CA8" w:rsidRPr="001D0D65" w:rsidRDefault="003F6010" w:rsidP="006E0C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:rsidR="006E0CA8" w:rsidRPr="00137EC9" w:rsidRDefault="006E0CA8" w:rsidP="00137EC9">
      <w:pPr>
        <w:jc w:val="both"/>
        <w:rPr>
          <w:rFonts w:ascii="Times New Roman" w:hAnsi="Times New Roman" w:cs="Times New Roman"/>
        </w:rPr>
      </w:pPr>
    </w:p>
    <w:sectPr w:rsidR="006E0CA8" w:rsidRPr="00137EC9" w:rsidSect="003F6010">
      <w:pgSz w:w="16838" w:h="11906" w:orient="landscape"/>
      <w:pgMar w:top="851" w:right="96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EC9"/>
    <w:rsid w:val="00137EC9"/>
    <w:rsid w:val="001E1204"/>
    <w:rsid w:val="00225788"/>
    <w:rsid w:val="002345BD"/>
    <w:rsid w:val="003B685E"/>
    <w:rsid w:val="003F6010"/>
    <w:rsid w:val="004A3274"/>
    <w:rsid w:val="006E0CA8"/>
    <w:rsid w:val="00974D05"/>
    <w:rsid w:val="009D5555"/>
    <w:rsid w:val="00BE011C"/>
    <w:rsid w:val="00D939DD"/>
    <w:rsid w:val="00DD598C"/>
    <w:rsid w:val="00F0796E"/>
    <w:rsid w:val="00FB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6</cp:revision>
  <dcterms:created xsi:type="dcterms:W3CDTF">2023-10-13T05:49:00Z</dcterms:created>
  <dcterms:modified xsi:type="dcterms:W3CDTF">2023-11-10T09:04:00Z</dcterms:modified>
</cp:coreProperties>
</file>